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18" w:type="dxa"/>
        <w:jc w:val="center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3"/>
        <w:gridCol w:w="66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8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28"/>
              </w:rPr>
            </w:pPr>
            <w:bookmarkStart w:id="0" w:name="_GoBack"/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0"/>
                <w:sz w:val="44"/>
                <w:szCs w:val="44"/>
              </w:rPr>
              <w:t>文物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0"/>
                <w:sz w:val="44"/>
                <w:szCs w:val="44"/>
              </w:rPr>
              <w:t>研究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0"/>
                <w:sz w:val="44"/>
                <w:szCs w:val="44"/>
              </w:rPr>
              <w:t>信息表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jc w:val="center"/>
        </w:trPr>
        <w:tc>
          <w:tcPr>
            <w:tcW w:w="228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28"/>
              </w:rPr>
              <w:t>序号</w:t>
            </w:r>
          </w:p>
        </w:tc>
        <w:tc>
          <w:tcPr>
            <w:tcW w:w="663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28"/>
              </w:rPr>
              <w:t>4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28"/>
              </w:rPr>
              <w:t>.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28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28"/>
              </w:rPr>
              <w:t>名称</w:t>
            </w:r>
          </w:p>
        </w:tc>
        <w:tc>
          <w:tcPr>
            <w:tcW w:w="663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28"/>
              </w:rPr>
              <w:t>文物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28"/>
              </w:rPr>
              <w:t>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8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28"/>
              </w:rPr>
              <w:t>法定依据</w:t>
            </w:r>
          </w:p>
        </w:tc>
        <w:tc>
          <w:tcPr>
            <w:tcW w:w="6635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28"/>
              </w:rPr>
              <w:t>《中华人民共和国文物保护法》</w:t>
            </w:r>
          </w:p>
          <w:p>
            <w:pPr>
              <w:widowControl/>
              <w:spacing w:line="360" w:lineRule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第十一条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 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文物是不可再生的文化资源。国家加强文物保护的宣传教育，增强全民文物保护的意识，鼓励文物保护的科学研究，提高文物保护的科学技术水平。</w:t>
            </w:r>
          </w:p>
          <w:p>
            <w:pPr>
              <w:widowControl/>
              <w:spacing w:line="360" w:lineRule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第四十条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 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文物收藏单位应当充分发挥馆藏文物的作用，通过举办展览、科学研究等活动，加强对中华民族优秀的历史文化和革命传统的宣传教育。</w:t>
            </w:r>
          </w:p>
          <w:p>
            <w:pPr>
              <w:widowControl/>
              <w:spacing w:line="360" w:lineRule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28"/>
              </w:rPr>
              <w:t>《博物馆条例》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28"/>
              </w:rPr>
              <w:t>（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28"/>
              </w:rPr>
              <w:t>国务院令第659号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28"/>
              </w:rPr>
              <w:t>）</w:t>
            </w:r>
          </w:p>
          <w:p>
            <w:pPr>
              <w:widowControl/>
              <w:spacing w:line="360" w:lineRule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28"/>
              </w:rPr>
              <w:t>第二条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28"/>
              </w:rPr>
              <w:t xml:space="preserve"> 本条例所称博物馆，是指以教育、研究和欣赏为目的，收藏、保护并向公众展示人类活动和自然环境的见证物，经登记管理机关依法登记的非营利组织。</w:t>
            </w:r>
          </w:p>
          <w:p>
            <w:pPr>
              <w:widowControl/>
              <w:spacing w:line="360" w:lineRule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28"/>
              </w:rPr>
              <w:t>第三十六条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28"/>
              </w:rPr>
              <w:t>　博物馆应当发挥藏品优势，开展相关专业领域的理论及应用研究，提高业务水平，促进专业人才的成长。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8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28"/>
              </w:rPr>
              <w:t>实施机构</w:t>
            </w:r>
          </w:p>
        </w:tc>
        <w:tc>
          <w:tcPr>
            <w:tcW w:w="6635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28"/>
              </w:rPr>
              <w:t xml:space="preserve"> 天津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28"/>
              </w:rPr>
              <w:t>杨柳青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28"/>
              </w:rPr>
              <w:t>博物馆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228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28"/>
              </w:rPr>
              <w:t>职责边界</w:t>
            </w:r>
          </w:p>
        </w:tc>
        <w:tc>
          <w:tcPr>
            <w:tcW w:w="6635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28"/>
              </w:rPr>
              <w:t xml:space="preserve"> 天津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28"/>
              </w:rPr>
              <w:t>杨柳青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28"/>
              </w:rPr>
              <w:t>博物馆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8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28"/>
              </w:rPr>
              <w:t>运行流程</w:t>
            </w:r>
          </w:p>
        </w:tc>
        <w:tc>
          <w:tcPr>
            <w:tcW w:w="6635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28"/>
              </w:rPr>
              <w:t>釆购有关的各种书刊、报纸、音像等资料开展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28"/>
              </w:rPr>
              <w:t>馆藏文物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28"/>
              </w:rPr>
              <w:t>研究。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228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28"/>
              </w:rPr>
              <w:t>运行要件</w:t>
            </w:r>
          </w:p>
        </w:tc>
        <w:tc>
          <w:tcPr>
            <w:tcW w:w="6635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228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28"/>
              </w:rPr>
              <w:t>责任事项</w:t>
            </w:r>
          </w:p>
        </w:tc>
        <w:tc>
          <w:tcPr>
            <w:tcW w:w="6635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28"/>
              </w:rPr>
              <w:t>利用馆藏文物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28"/>
              </w:rPr>
              <w:t>、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28"/>
              </w:rPr>
              <w:t>采购相关资料进行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28"/>
              </w:rPr>
              <w:t>相关研究。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8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28"/>
              </w:rPr>
              <w:t>监督方式</w:t>
            </w:r>
          </w:p>
        </w:tc>
        <w:tc>
          <w:tcPr>
            <w:tcW w:w="6635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28"/>
              </w:rPr>
              <w:t>监督电话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28"/>
              </w:rPr>
              <w:t>：022-27391618</w:t>
            </w:r>
          </w:p>
          <w:p>
            <w:pPr>
              <w:widowControl/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28"/>
              </w:rPr>
              <w:t>监督邮箱：tjylqbwg@163.com</w:t>
            </w:r>
          </w:p>
          <w:p>
            <w:pPr>
              <w:widowControl/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28"/>
              </w:rPr>
              <w:t>来信来访地址： 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28"/>
              </w:rPr>
              <w:t>西青区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28"/>
              </w:rPr>
              <w:t>杨柳青博物馆（石家大院）估衣街47号</w:t>
            </w:r>
          </w:p>
        </w:tc>
      </w:tr>
    </w:tbl>
    <w:p>
      <w:pPr>
        <w:rPr>
          <w:sz w:val="10"/>
          <w:szCs w:val="1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iragino Sans G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Lantinghei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方正仿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=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==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么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么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黑体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小标宋简体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EE0ACC"/>
    <w:rsid w:val="092C0840"/>
    <w:rsid w:val="39EE0ACC"/>
    <w:rsid w:val="7ED96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0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5">
    <w:name w:val="标头"/>
    <w:basedOn w:val="2"/>
    <w:next w:val="1"/>
    <w:uiPriority w:val="0"/>
    <w:rPr>
      <w:rFonts w:ascii="Times New Roman" w:hAnsi="Times New Roman" w:eastAsia="TiMes" w:cs="Times New Roman"/>
      <w:sz w:val="44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2018-01-09T03:17:00Z</dcterms:created>
  <dc:creator>abc</dc:creator>
  <cp:lastModifiedBy>abc</cp:lastModifiedBy>
  <dcterms:modified xsi:type="dcterms:W3CDTF">2018-01-09T03:36:40Z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