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Spec="center" w:tblpY="93"/>
        <w:tblOverlap w:val="never"/>
        <w:tblW w:w="96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</w:rPr>
              <w:t>数字文献资源收集与建设信息表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数字文献资源的收集与建设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《中华人民共和国公共图书馆法》第二条规定：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本法所称公共图书馆，是指向社会公众免费开放，收集、整理、保存文献信息并提供查询、借阅及相关服务，开展社会教育的公共文化设施。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前款规定的文献信息包括图书报刊、音像制品、缩微制品、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8"/>
                <w:szCs w:val="28"/>
                <w:shd w:val="clear" w:color="auto" w:fill="FFFFFF"/>
              </w:rPr>
              <w:t>数字资源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图书馆通过采购、自建等方式获取数字文献资源，依据国家公布的标准规范对文献信息进行整理，并依法通过合理方式向社会公开。采用合理存储方式进行保存。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图书馆获取文献资料的方式和内容应符合法律法规，数字资源的收藏应注重网络信息安全。馆藏文献应遵照有关规定进行处置，不得随意处置。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F6B0F"/>
    <w:rsid w:val="11A95ABC"/>
    <w:rsid w:val="7AFF6B0F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5">
    <w:name w:val="page number"/>
    <w:basedOn w:val="4"/>
    <w:uiPriority w:val="0"/>
  </w:style>
  <w:style w:type="paragraph" w:customStyle="1" w:styleId="7">
    <w:name w:val="标头"/>
    <w:basedOn w:val="3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2018-01-09T05:57:00Z</dcterms:created>
  <dc:creator>abc</dc:creator>
  <cp:lastModifiedBy>abc</cp:lastModifiedBy>
  <dcterms:modified xsi:type="dcterms:W3CDTF">2018-01-09T06:11:37Z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