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pPr w:leftFromText="180" w:rightFromText="180" w:vertAnchor="text" w:horzAnchor="page" w:tblpXSpec="center" w:tblpY="-27"/>
        <w:tblOverlap w:val="never"/>
        <w:tblW w:w="891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3"/>
        <w:gridCol w:w="663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  <w:jc w:val="center"/>
        </w:trPr>
        <w:tc>
          <w:tcPr>
            <w:tcW w:w="89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u w:val="single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44"/>
                <w:szCs w:val="44"/>
              </w:rPr>
              <w:t>电子音像文献收集与保存信息表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83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663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1.3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名称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电子音像文献的收集与保存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法定依据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sz w:val="28"/>
                <w:szCs w:val="28"/>
                <w:shd w:val="clear" w:color="auto" w:fill="FFFFFF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《中华人民共和国公共图书馆法》第二条规定：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shd w:val="clear" w:color="auto" w:fill="FFFFFF"/>
              </w:rPr>
              <w:t>本法所称公共图书馆，是指向社会公众免费开放，收集、整理、保存文献信息并提供查询、借阅及相关服务，开展社会教育的公共文化设施。</w:t>
            </w:r>
          </w:p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shd w:val="clear" w:color="auto" w:fill="FFFFFF"/>
              </w:rPr>
              <w:t>前款规定的文献信息包括图书报刊、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8"/>
                <w:szCs w:val="28"/>
                <w:shd w:val="clear" w:color="auto" w:fill="FFFFFF"/>
              </w:rPr>
              <w:t>音像制品</w:t>
            </w:r>
            <w:r>
              <w:rPr>
                <w:rFonts w:hint="eastAsia" w:asciiTheme="majorEastAsia" w:hAnsiTheme="majorEastAsia" w:eastAsiaTheme="majorEastAsia" w:cstheme="majorEastAsia"/>
                <w:sz w:val="28"/>
                <w:szCs w:val="28"/>
                <w:shd w:val="clear" w:color="auto" w:fill="FFFFFF"/>
              </w:rPr>
              <w:t>、缩微制品、数字资源等。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1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实施机构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职责边界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西青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区图书馆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运行流程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　  图书馆通过采购、接受捐赠等方式获得文献资料，依据国家公布的标准规范对文献信息进行整理，并依法通过合理方式向社会公开，合理布置馆藏收藏该文献资料。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运行要件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8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责任事项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>
            <w:pPr>
              <w:widowControl/>
              <w:ind w:firstLine="560" w:firstLineChars="200"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图书馆获取文献资料的方式和内容应符合法律法规，电子音像文献的保存方式应符合有关文献资料物理属性。馆藏文献应遵照有关规定进行处置，不得随意处置。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2283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监督方式</w:t>
            </w:r>
          </w:p>
        </w:tc>
        <w:tc>
          <w:tcPr>
            <w:tcW w:w="663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监督邮箱：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xqlib@163.com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电话：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27391689</w:t>
            </w:r>
          </w:p>
          <w:p>
            <w:pPr>
              <w:widowControl/>
              <w:jc w:val="left"/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>来信地址：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天津市西青区杨柳青镇府前街5号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</w:rPr>
              <w:t xml:space="preserve">  邮政编码：</w:t>
            </w:r>
            <w:r>
              <w:rPr>
                <w:rFonts w:hint="eastAsia" w:asciiTheme="majorEastAsia" w:hAnsiTheme="majorEastAsia" w:eastAsiaTheme="majorEastAsia" w:cstheme="majorEastAsia"/>
                <w:kern w:val="0"/>
                <w:sz w:val="28"/>
                <w:szCs w:val="28"/>
                <w:lang w:eastAsia="zh-CN"/>
              </w:rPr>
              <w:t>300380</w:t>
            </w:r>
          </w:p>
        </w:tc>
      </w:tr>
    </w:tbl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pPr>
        <w:ind w:right="320" w:rightChars="100"/>
        <w:rPr>
          <w:rFonts w:hint="eastAsia" w:asciiTheme="majorEastAsia" w:hAnsiTheme="majorEastAsia" w:eastAsiaTheme="majorEastAsia" w:cstheme="majorEastAsia"/>
          <w:sz w:val="28"/>
          <w:szCs w:val="28"/>
        </w:rPr>
      </w:pPr>
    </w:p>
    <w:p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antinghei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Arial Unicode MS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00"/>
    <w:family w:val="auto"/>
    <w:pitch w:val="default"/>
    <w:sig w:usb0="00000000" w:usb1="00000000" w:usb2="00000000" w:usb3="00000000" w:csb0="00000000" w:csb1="00000000"/>
  </w:font>
  <w:font w:name="宋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e==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g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a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事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么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方正黑体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小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</w:t>
    </w:r>
    <w: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285BE4"/>
    <w:rsid w:val="02285BE4"/>
    <w:rsid w:val="7ED9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character" w:styleId="5">
    <w:name w:val="page number"/>
    <w:basedOn w:val="4"/>
    <w:uiPriority w:val="0"/>
  </w:style>
  <w:style w:type="paragraph" w:customStyle="1" w:styleId="7">
    <w:name w:val="标头"/>
    <w:basedOn w:val="3"/>
    <w:next w:val="1"/>
    <w:uiPriority w:val="0"/>
    <w:rPr>
      <w:rFonts w:ascii="Times New Roman" w:hAnsi="Times New Roman" w:eastAsia="TiMes" w:cs="Times New Roman"/>
      <w:sz w:val="44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2018-01-09T05:57:00Z</dcterms:created>
  <dc:creator>abc</dc:creator>
  <cp:lastModifiedBy>abc</cp:lastModifiedBy>
  <dcterms:modified xsi:type="dcterms:W3CDTF">2018-01-09T06:11:11Z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