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85" w:tblpY="18"/>
        <w:tblOverlap w:val="never"/>
        <w:tblW w:w="89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  <w:t>地方文献资料查阅服务信息表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bookmarkStart w:id="0" w:name="_GoBack" w:colFirst="1" w:colLast="1"/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地方文献资料的查阅服务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《中华人民共和国公共图书馆法》第二十四条：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公共图书馆应当根据办馆宗旨和服务对象的需求，广泛收集文献信息；政府设立的公共图书馆还应当系统收集地方文献信息，保存和传承地方文化。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图书馆依法依规将适合公开的馆藏地方文献提供读者查阅，读者凭个人有效证件或其本人名下的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读者证进行查阅。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读者应凭有效证件或凭其本人名下的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读者证查阅。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查阅规则和流程应通过在馆内显要位置张贴告示、在网站公布等方式向读者和公众公示，不得向读者提供内容不宜公开的地方文献，不得泄露读者个人信息。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04942"/>
    <w:rsid w:val="16A46E51"/>
    <w:rsid w:val="2DF04942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2018-01-09T05:59:00Z</dcterms:created>
  <dc:creator>abc</dc:creator>
  <cp:lastModifiedBy>abc</cp:lastModifiedBy>
  <dcterms:modified xsi:type="dcterms:W3CDTF">2018-01-09T06:09:38Z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