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675" w:tblpY="33"/>
        <w:tblOverlap w:val="never"/>
        <w:tblW w:w="891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8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val="en-US" w:eastAsia="zh-CN"/>
              </w:rPr>
              <w:t>电子音像文献资料的阅览服务信息表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电子音像文献资料的阅览服务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《中华人民共和国公共图书馆法》第二条规定：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本法所称公共图书馆，是指向社会公众免费开放，收集、整理、保存文献信息并提供查询、借阅及相关服务，开展社会教育的公共文化设施。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前款规定的文献信息包括图书报刊、音像制品、缩微制品、数字资源等。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图书馆通过设置专用的音乐阅览空间、电影放映空间为读者提供电子音像文献资料和阅览欣赏服务。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读者凭其本人名下的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读者证阅览。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阅览规则和流程应通过在馆内显要位置张贴告示、在网站公布等方式向读者和公众公示，不得向读者提供内容不适宜的电子音像文献，不得非法获取或泄露读者个人信息。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B25AD"/>
    <w:rsid w:val="70CB25AD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qFormat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2018-01-09T06:00:00Z</dcterms:created>
  <dc:creator>abc</dc:creator>
  <cp:lastModifiedBy>abc</cp:lastModifiedBy>
  <dcterms:modified xsi:type="dcterms:W3CDTF">2018-01-09T06:09:03Z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