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420" w:tblpY="-12"/>
        <w:tblOverlap w:val="never"/>
        <w:tblW w:w="96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  <w:gridCol w:w="70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9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  <w:lang w:eastAsia="zh-CN"/>
              </w:rPr>
              <w:t>以弘扬优秀文化，提升市民科学人文素养为目的的社会教育活动信息表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4.2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72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以弘扬优秀文化，提升市民科学人文素养为目的的社会教育活动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96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《中华人民共和国公共图书馆法》第三条：公共图书馆应当坚持社会主义先进文化前进方向，坚持以人民为中心，坚持以社会主义核心价值观为引领，传承发展中华优秀传统文化，继承革命文化，发展社会主义先进文化。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第三十三条：公共图书馆应当免费向社会公众提供下列服务：</w:t>
            </w:r>
          </w:p>
          <w:p>
            <w:pP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　　（三）公益性讲座、阅读推广、培训、展览。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31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4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810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  针对本区社会教育工作基本情况和读者需求进行前期调研，根据适用群体、活动目的和客观条件制定活动计划，做好活动实施前的准备工作，做好活动的实施工作，接受活动反馈并进行总结。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128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活动的内容应符合国家法律法规政策要求，图书馆应对活动内容进行审核把关，活动过程中应注意秩序维护和安全保护。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02" w:type="dxa"/>
          <w:trHeight w:val="1024" w:hRule="atLeast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left="1160" w:leftChars="100" w:right="320" w:rightChars="100" w:hanging="840" w:hangingChars="3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431D1E"/>
    <w:rsid w:val="72431D1E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5">
    <w:name w:val="标头"/>
    <w:basedOn w:val="2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2018-01-09T06:00:00Z</dcterms:created>
  <dc:creator>abc</dc:creator>
  <cp:lastModifiedBy>abc</cp:lastModifiedBy>
  <dcterms:modified xsi:type="dcterms:W3CDTF">2018-01-09T06:07:35Z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