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6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  <w:gridCol w:w="7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9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u w:val="single"/>
              </w:rPr>
            </w:pP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kern w:val="0"/>
                <w:sz w:val="44"/>
                <w:szCs w:val="44"/>
                <w:lang w:eastAsia="zh-CN"/>
              </w:rPr>
              <w:t>西青区图书馆外借图书通借通还服务信息表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66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7.1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西青区图书馆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外借图书通借通还服务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96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法定依据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《中华人民共和国公共图书馆法》第三十条：公共图书馆应当加强馆际交流与合作。国家支持公共图书馆开展联合采购、联合编目、联合服务，实现文献信息的共建共享，促进文献信息的有效利用。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31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实施机构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84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职责边界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区图书馆：主要负责为读者办理通借通还图书的借还手续、缴纳逾期服务费、办理读者证等日常服务，保障通借通还服务顺利开展。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天津图书馆：负责服务器的搭建、数据库的创建以及系统的维护。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81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运行流程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区采用数字链路技术与天津图书馆进行联网，从而实现通借通还服务。</w:t>
            </w:r>
          </w:p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2．读者可凭身份证在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区图书馆办理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西青区图书馆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通用读者卡。</w:t>
            </w:r>
          </w:p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3．读者持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西青区图书馆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通用读者卡可享受中文外借图书的通借通还服务。读者在我馆借出的图书可在天津图书馆或各区图书馆进行归还，同时也可在我馆归还在天津图书馆或各区图书馆借出的图书。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2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运行要件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2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责任事项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应做好工作人员的培训，与天津图书馆就通借通还文献的馆藏信息制作、检索与流通环节保持沟通协作，在文献内容审核与文献剔旧方面保持联络，从而保证不提供内容不适宜的图书文献，不得随意处理文献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24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监督方式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监督邮箱：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xqlib@163.com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电话：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27391689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来信地址：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天津市西青区杨柳青镇府前街5号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 xml:space="preserve"> 邮政编码：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300380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E40564"/>
    <w:rsid w:val="15E40564"/>
    <w:rsid w:val="6F221CB3"/>
    <w:rsid w:val="7ED9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5">
    <w:name w:val="标头"/>
    <w:basedOn w:val="2"/>
    <w:next w:val="1"/>
    <w:uiPriority w:val="0"/>
    <w:rPr>
      <w:rFonts w:ascii="Times New Roman" w:hAnsi="Times New Roman" w:eastAsia="TiMes" w:cs="Times New Roman"/>
      <w:sz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2018-01-09T06:01:00Z</dcterms:created>
  <dc:creator>abc</dc:creator>
  <cp:lastModifiedBy>abc</cp:lastModifiedBy>
  <dcterms:modified xsi:type="dcterms:W3CDTF">2018-01-09T06:05:54Z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