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620" w:type="dxa"/>
        <w:tblInd w:w="93" w:type="dxa"/>
        <w:tblLayout w:type="fixed"/>
        <w:tblCellMar>
          <w:top w:w="0" w:type="dxa"/>
          <w:left w:w="108" w:type="dxa"/>
          <w:bottom w:w="0" w:type="dxa"/>
          <w:right w:w="108" w:type="dxa"/>
        </w:tblCellMar>
      </w:tblPr>
      <w:tblGrid>
        <w:gridCol w:w="2283"/>
        <w:gridCol w:w="6635"/>
        <w:gridCol w:w="702"/>
      </w:tblGrid>
      <w:tr>
        <w:tblPrEx>
          <w:tblLayout w:type="fixed"/>
          <w:tblCellMar>
            <w:top w:w="0" w:type="dxa"/>
            <w:left w:w="108" w:type="dxa"/>
            <w:bottom w:w="0" w:type="dxa"/>
            <w:right w:w="108" w:type="dxa"/>
          </w:tblCellMar>
        </w:tblPrEx>
        <w:trPr>
          <w:trHeight w:val="839" w:hRule="atLeast"/>
        </w:trPr>
        <w:tc>
          <w:tcPr>
            <w:tcW w:w="9620" w:type="dxa"/>
            <w:gridSpan w:val="3"/>
            <w:tcBorders>
              <w:top w:val="nil"/>
              <w:left w:val="nil"/>
              <w:bottom w:val="nil"/>
              <w:right w:val="nil"/>
            </w:tcBorders>
            <w:vAlign w:val="center"/>
          </w:tcPr>
          <w:p>
            <w:pPr>
              <w:widowControl/>
              <w:jc w:val="center"/>
              <w:rPr>
                <w:rFonts w:hint="eastAsia" w:asciiTheme="majorEastAsia" w:hAnsiTheme="majorEastAsia" w:eastAsiaTheme="majorEastAsia" w:cstheme="majorEastAsia"/>
                <w:kern w:val="0"/>
                <w:sz w:val="44"/>
                <w:szCs w:val="44"/>
                <w:lang w:eastAsia="zh-CN"/>
              </w:rPr>
            </w:pPr>
            <w:bookmarkStart w:id="0" w:name="_GoBack"/>
            <w:r>
              <w:rPr>
                <w:rFonts w:hint="eastAsia" w:asciiTheme="majorEastAsia" w:hAnsiTheme="majorEastAsia" w:eastAsiaTheme="majorEastAsia" w:cstheme="majorEastAsia"/>
                <w:kern w:val="0"/>
                <w:sz w:val="44"/>
                <w:szCs w:val="44"/>
                <w:lang w:eastAsia="zh-CN"/>
              </w:rPr>
              <w:t>与本市其他区级图书馆及学校等单位的图书馆室建立业务交流合作信息表</w:t>
            </w:r>
            <w:bookmarkEnd w:id="0"/>
          </w:p>
        </w:tc>
      </w:tr>
      <w:tr>
        <w:tblPrEx>
          <w:tblLayout w:type="fixed"/>
          <w:tblCellMar>
            <w:top w:w="0" w:type="dxa"/>
            <w:left w:w="108" w:type="dxa"/>
            <w:bottom w:w="0" w:type="dxa"/>
            <w:right w:w="108" w:type="dxa"/>
          </w:tblCellMar>
        </w:tblPrEx>
        <w:trPr>
          <w:gridAfter w:val="1"/>
          <w:wAfter w:w="702" w:type="dxa"/>
          <w:trHeight w:val="720" w:hRule="atLeast"/>
        </w:trPr>
        <w:tc>
          <w:tcPr>
            <w:tcW w:w="2283" w:type="dxa"/>
            <w:tcBorders>
              <w:top w:val="single" w:color="auto" w:sz="4"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序号</w:t>
            </w:r>
          </w:p>
        </w:tc>
        <w:tc>
          <w:tcPr>
            <w:tcW w:w="6635" w:type="dxa"/>
            <w:tcBorders>
              <w:top w:val="single" w:color="auto" w:sz="4"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7.3</w:t>
            </w:r>
          </w:p>
        </w:tc>
      </w:tr>
      <w:tr>
        <w:tblPrEx>
          <w:tblLayout w:type="fixed"/>
          <w:tblCellMar>
            <w:top w:w="0" w:type="dxa"/>
            <w:left w:w="108" w:type="dxa"/>
            <w:bottom w:w="0" w:type="dxa"/>
            <w:right w:w="108" w:type="dxa"/>
          </w:tblCellMar>
        </w:tblPrEx>
        <w:trPr>
          <w:gridAfter w:val="1"/>
          <w:wAfter w:w="702" w:type="dxa"/>
          <w:trHeight w:val="72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名称</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与本市其他区级图书馆及学校等单位的图书馆室建立业务交流合作</w:t>
            </w:r>
          </w:p>
        </w:tc>
      </w:tr>
      <w:tr>
        <w:tblPrEx>
          <w:tblLayout w:type="fixed"/>
          <w:tblCellMar>
            <w:top w:w="0" w:type="dxa"/>
            <w:left w:w="108" w:type="dxa"/>
            <w:bottom w:w="0" w:type="dxa"/>
            <w:right w:w="108" w:type="dxa"/>
          </w:tblCellMar>
        </w:tblPrEx>
        <w:trPr>
          <w:gridAfter w:val="1"/>
          <w:wAfter w:w="702" w:type="dxa"/>
          <w:trHeight w:val="196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法定依据</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kern w:val="0"/>
                <w:sz w:val="28"/>
                <w:szCs w:val="28"/>
              </w:rPr>
              <w:t>　</w:t>
            </w:r>
            <w:r>
              <w:rPr>
                <w:rFonts w:hint="eastAsia" w:asciiTheme="majorEastAsia" w:hAnsiTheme="majorEastAsia" w:eastAsiaTheme="majorEastAsia" w:cstheme="majorEastAsia"/>
                <w:sz w:val="28"/>
                <w:szCs w:val="28"/>
              </w:rPr>
              <w:t>《中华人民共和国公共图书馆法》第三十条：公共图书馆应当加强馆际交流与合作。</w:t>
            </w:r>
          </w:p>
          <w:p>
            <w:pPr>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第四十八条：国家支持公共图书馆加强与学校图书馆、科研机构图书馆以及其他类型图书馆的交流与合作，开展联合服务。</w:t>
            </w:r>
          </w:p>
          <w:p>
            <w:pP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sz w:val="28"/>
                <w:szCs w:val="28"/>
              </w:rPr>
              <w:t>　　国家支持学校图书馆、科研机构图书馆以及其他类型图书馆向社会公众开放。</w:t>
            </w:r>
          </w:p>
        </w:tc>
      </w:tr>
      <w:tr>
        <w:tblPrEx>
          <w:tblLayout w:type="fixed"/>
          <w:tblCellMar>
            <w:top w:w="0" w:type="dxa"/>
            <w:left w:w="108" w:type="dxa"/>
            <w:bottom w:w="0" w:type="dxa"/>
            <w:right w:w="108" w:type="dxa"/>
          </w:tblCellMar>
        </w:tblPrEx>
        <w:trPr>
          <w:gridAfter w:val="1"/>
          <w:wAfter w:w="702" w:type="dxa"/>
          <w:trHeight w:val="1131"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实施机构</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gridAfter w:val="1"/>
          <w:wAfter w:w="702" w:type="dxa"/>
          <w:trHeight w:val="84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职责边界</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lang w:eastAsia="zh-CN"/>
              </w:rPr>
              <w:t>西青</w:t>
            </w:r>
            <w:r>
              <w:rPr>
                <w:rFonts w:hint="eastAsia" w:asciiTheme="majorEastAsia" w:hAnsiTheme="majorEastAsia" w:eastAsiaTheme="majorEastAsia" w:cstheme="majorEastAsia"/>
                <w:kern w:val="0"/>
                <w:sz w:val="28"/>
                <w:szCs w:val="28"/>
              </w:rPr>
              <w:t>区图书馆</w:t>
            </w:r>
          </w:p>
        </w:tc>
      </w:tr>
      <w:tr>
        <w:tblPrEx>
          <w:tblLayout w:type="fixed"/>
          <w:tblCellMar>
            <w:top w:w="0" w:type="dxa"/>
            <w:left w:w="108" w:type="dxa"/>
            <w:bottom w:w="0" w:type="dxa"/>
            <w:right w:w="108" w:type="dxa"/>
          </w:tblCellMar>
        </w:tblPrEx>
        <w:trPr>
          <w:gridAfter w:val="1"/>
          <w:wAfter w:w="702" w:type="dxa"/>
          <w:trHeight w:val="810"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运行流程</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在业务工作中保持与本市其他区级图书馆及学校等单位的图书馆室建立业务交流合作，根据实际情况举办业务研讨活动，进行信息与知识、技术的相互支援。在大型读书活动的策划组织、参考咨询、学术研究等领域加强合作。</w:t>
            </w:r>
          </w:p>
        </w:tc>
      </w:tr>
      <w:tr>
        <w:tblPrEx>
          <w:tblLayout w:type="fixed"/>
          <w:tblCellMar>
            <w:top w:w="0" w:type="dxa"/>
            <w:left w:w="108" w:type="dxa"/>
            <w:bottom w:w="0" w:type="dxa"/>
            <w:right w:w="108" w:type="dxa"/>
          </w:tblCellMar>
        </w:tblPrEx>
        <w:trPr>
          <w:gridAfter w:val="1"/>
          <w:wAfter w:w="702" w:type="dxa"/>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运行要件</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p>
        </w:tc>
      </w:tr>
      <w:tr>
        <w:tblPrEx>
          <w:tblLayout w:type="fixed"/>
          <w:tblCellMar>
            <w:top w:w="0" w:type="dxa"/>
            <w:left w:w="108" w:type="dxa"/>
            <w:bottom w:w="0" w:type="dxa"/>
            <w:right w:w="108" w:type="dxa"/>
          </w:tblCellMar>
        </w:tblPrEx>
        <w:trPr>
          <w:gridAfter w:val="1"/>
          <w:wAfter w:w="702" w:type="dxa"/>
          <w:trHeight w:val="1128" w:hRule="atLeast"/>
        </w:trPr>
        <w:tc>
          <w:tcPr>
            <w:tcW w:w="2283" w:type="dxa"/>
            <w:tcBorders>
              <w:top w:val="single" w:color="auto" w:sz="6" w:space="0"/>
              <w:left w:val="single" w:color="auto" w:sz="4" w:space="0"/>
              <w:bottom w:val="single" w:color="auto" w:sz="6"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责任事项</w:t>
            </w:r>
          </w:p>
        </w:tc>
        <w:tc>
          <w:tcPr>
            <w:tcW w:w="6635" w:type="dxa"/>
            <w:tcBorders>
              <w:top w:val="single" w:color="auto" w:sz="6" w:space="0"/>
              <w:left w:val="single" w:color="auto" w:sz="6" w:space="0"/>
              <w:bottom w:val="single" w:color="auto" w:sz="6" w:space="0"/>
              <w:right w:val="single" w:color="auto" w:sz="4" w:space="0"/>
            </w:tcBorders>
            <w:vAlign w:val="center"/>
          </w:tcPr>
          <w:p>
            <w:pPr>
              <w:widowControl/>
              <w:ind w:firstLine="560" w:firstLineChars="200"/>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在与其他区级图书馆及学校、科研机构等单位的图书馆室进行业务交流活动与合作时，应做好计划和协调，避免在合作过程中出现对文献的不当处置或对活动内容审核不到位的状况。</w:t>
            </w:r>
          </w:p>
        </w:tc>
      </w:tr>
      <w:tr>
        <w:tblPrEx>
          <w:tblLayout w:type="fixed"/>
          <w:tblCellMar>
            <w:top w:w="0" w:type="dxa"/>
            <w:left w:w="108" w:type="dxa"/>
            <w:bottom w:w="0" w:type="dxa"/>
            <w:right w:w="108" w:type="dxa"/>
          </w:tblCellMar>
        </w:tblPrEx>
        <w:trPr>
          <w:gridAfter w:val="1"/>
          <w:wAfter w:w="702" w:type="dxa"/>
          <w:trHeight w:val="1024" w:hRule="atLeast"/>
        </w:trPr>
        <w:tc>
          <w:tcPr>
            <w:tcW w:w="2283" w:type="dxa"/>
            <w:tcBorders>
              <w:top w:val="single" w:color="auto" w:sz="6" w:space="0"/>
              <w:left w:val="single" w:color="auto" w:sz="4" w:space="0"/>
              <w:bottom w:val="single" w:color="auto" w:sz="4" w:space="0"/>
              <w:right w:val="single" w:color="auto" w:sz="6" w:space="0"/>
            </w:tcBorders>
            <w:vAlign w:val="center"/>
          </w:tcPr>
          <w:p>
            <w:pPr>
              <w:widowControl/>
              <w:jc w:val="center"/>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监督方式</w:t>
            </w:r>
          </w:p>
        </w:tc>
        <w:tc>
          <w:tcPr>
            <w:tcW w:w="6635" w:type="dxa"/>
            <w:tcBorders>
              <w:top w:val="single" w:color="auto" w:sz="6" w:space="0"/>
              <w:left w:val="single" w:color="auto" w:sz="6"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监督邮箱：</w:t>
            </w:r>
            <w:r>
              <w:rPr>
                <w:rFonts w:hint="eastAsia" w:asciiTheme="majorEastAsia" w:hAnsiTheme="majorEastAsia" w:eastAsiaTheme="majorEastAsia" w:cstheme="majorEastAsia"/>
                <w:kern w:val="0"/>
                <w:sz w:val="28"/>
                <w:szCs w:val="28"/>
                <w:lang w:eastAsia="zh-CN"/>
              </w:rPr>
              <w:t>xqlib@163.com</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电话：</w:t>
            </w:r>
            <w:r>
              <w:rPr>
                <w:rFonts w:hint="eastAsia" w:asciiTheme="majorEastAsia" w:hAnsiTheme="majorEastAsia" w:eastAsiaTheme="majorEastAsia" w:cstheme="majorEastAsia"/>
                <w:kern w:val="0"/>
                <w:sz w:val="28"/>
                <w:szCs w:val="28"/>
                <w:lang w:eastAsia="zh-CN"/>
              </w:rPr>
              <w:t>27391689</w:t>
            </w:r>
          </w:p>
          <w:p>
            <w:pPr>
              <w:widowControl/>
              <w:jc w:val="left"/>
              <w:rPr>
                <w:rFonts w:hint="eastAsia" w:asciiTheme="majorEastAsia" w:hAnsiTheme="majorEastAsia" w:eastAsiaTheme="majorEastAsia" w:cstheme="majorEastAsia"/>
                <w:kern w:val="0"/>
                <w:sz w:val="28"/>
                <w:szCs w:val="28"/>
              </w:rPr>
            </w:pPr>
            <w:r>
              <w:rPr>
                <w:rFonts w:hint="eastAsia" w:asciiTheme="majorEastAsia" w:hAnsiTheme="majorEastAsia" w:eastAsiaTheme="majorEastAsia" w:cstheme="majorEastAsia"/>
                <w:kern w:val="0"/>
                <w:sz w:val="28"/>
                <w:szCs w:val="28"/>
              </w:rPr>
              <w:t>来信地址：</w:t>
            </w:r>
            <w:r>
              <w:rPr>
                <w:rFonts w:hint="eastAsia" w:asciiTheme="majorEastAsia" w:hAnsiTheme="majorEastAsia" w:eastAsiaTheme="majorEastAsia" w:cstheme="majorEastAsia"/>
                <w:kern w:val="0"/>
                <w:sz w:val="28"/>
                <w:szCs w:val="28"/>
                <w:lang w:eastAsia="zh-CN"/>
              </w:rPr>
              <w:t>天津市西青区杨柳青镇府前街5号</w:t>
            </w:r>
            <w:r>
              <w:rPr>
                <w:rFonts w:hint="eastAsia" w:asciiTheme="majorEastAsia" w:hAnsiTheme="majorEastAsia" w:eastAsiaTheme="majorEastAsia" w:cstheme="majorEastAsia"/>
                <w:kern w:val="0"/>
                <w:sz w:val="28"/>
                <w:szCs w:val="28"/>
              </w:rPr>
              <w:t xml:space="preserve">  邮政编码：</w:t>
            </w:r>
            <w:r>
              <w:rPr>
                <w:rFonts w:hint="eastAsia" w:asciiTheme="majorEastAsia" w:hAnsiTheme="majorEastAsia" w:eastAsiaTheme="majorEastAsia" w:cstheme="majorEastAsia"/>
                <w:kern w:val="0"/>
                <w:sz w:val="28"/>
                <w:szCs w:val="28"/>
                <w:lang w:eastAsia="zh-CN"/>
              </w:rPr>
              <w:t>300380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0" w:usb1="00000000" w:usb2="00000000" w:usb3="00000000" w:csb0="00000000" w:csb1="00000000"/>
  </w:font>
  <w:font w:name="仿宋_GB2312">
    <w:panose1 w:val="02010609030101010101"/>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2010601030101010101"/>
    <w:charset w:val="86"/>
    <w:family w:val="auto"/>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911D8"/>
    <w:rsid w:val="3FF911D8"/>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qFormat/>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2018-01-09T06:02:00Z</dcterms:created>
  <dc:creator>abc</dc:creator>
  <cp:lastModifiedBy>abc</cp:lastModifiedBy>
  <dcterms:modified xsi:type="dcterms:W3CDTF">2018-01-09T06:05:20Z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