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18" w:type="dxa"/>
        <w:tblInd w:w="93" w:type="dxa"/>
        <w:tblLayout w:type="fixed"/>
        <w:tblCellMar>
          <w:top w:w="0" w:type="dxa"/>
          <w:left w:w="108" w:type="dxa"/>
          <w:bottom w:w="0" w:type="dxa"/>
          <w:right w:w="108" w:type="dxa"/>
        </w:tblCellMar>
      </w:tblPr>
      <w:tblGrid>
        <w:gridCol w:w="2283"/>
        <w:gridCol w:w="6635"/>
      </w:tblGrid>
      <w:tr>
        <w:tblPrEx>
          <w:tblLayout w:type="fixed"/>
          <w:tblCellMar>
            <w:top w:w="0" w:type="dxa"/>
            <w:left w:w="108" w:type="dxa"/>
            <w:bottom w:w="0" w:type="dxa"/>
            <w:right w:w="108" w:type="dxa"/>
          </w:tblCellMar>
        </w:tblPrEx>
        <w:trPr>
          <w:trHeight w:val="839" w:hRule="atLeast"/>
        </w:trPr>
        <w:tc>
          <w:tcPr>
            <w:tcW w:w="8918" w:type="dxa"/>
            <w:gridSpan w:val="2"/>
            <w:tcBorders>
              <w:top w:val="nil"/>
              <w:left w:val="nil"/>
              <w:bottom w:val="nil"/>
              <w:right w:val="nil"/>
            </w:tcBorders>
            <w:vAlign w:val="center"/>
          </w:tcPr>
          <w:p>
            <w:pPr>
              <w:widowControl/>
              <w:jc w:val="center"/>
              <w:rPr>
                <w:rFonts w:hint="eastAsia" w:asciiTheme="majorEastAsia" w:hAnsiTheme="majorEastAsia" w:eastAsiaTheme="majorEastAsia" w:cstheme="majorEastAsia"/>
                <w:kern w:val="0"/>
                <w:sz w:val="28"/>
                <w:szCs w:val="28"/>
                <w:u w:val="single"/>
              </w:rPr>
            </w:pPr>
            <w:r>
              <w:rPr>
                <w:rFonts w:hint="eastAsia" w:asciiTheme="majorEastAsia" w:hAnsiTheme="majorEastAsia" w:eastAsiaTheme="majorEastAsia" w:cstheme="majorEastAsia"/>
                <w:kern w:val="0"/>
                <w:sz w:val="44"/>
                <w:szCs w:val="44"/>
                <w:lang w:eastAsia="zh-CN"/>
              </w:rPr>
              <w:t>分馆及</w:t>
            </w:r>
            <w:r>
              <w:rPr>
                <w:rFonts w:hint="eastAsia" w:asciiTheme="majorEastAsia" w:hAnsiTheme="majorEastAsia" w:eastAsiaTheme="majorEastAsia" w:cstheme="majorEastAsia"/>
                <w:kern w:val="0"/>
                <w:sz w:val="44"/>
                <w:szCs w:val="44"/>
              </w:rPr>
              <w:t>基层图书馆室建设的专业技术指导信息表</w:t>
            </w:r>
          </w:p>
        </w:tc>
      </w:tr>
      <w:tr>
        <w:tblPrEx>
          <w:tblLayout w:type="fixed"/>
          <w:tblCellMar>
            <w:top w:w="0" w:type="dxa"/>
            <w:left w:w="108" w:type="dxa"/>
            <w:bottom w:w="0" w:type="dxa"/>
            <w:right w:w="108" w:type="dxa"/>
          </w:tblCellMar>
        </w:tblPrEx>
        <w:trPr>
          <w:trHeight w:val="720" w:hRule="atLeast"/>
        </w:trPr>
        <w:tc>
          <w:tcPr>
            <w:tcW w:w="2283" w:type="dxa"/>
            <w:tcBorders>
              <w:top w:val="single" w:color="auto" w:sz="4"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tcBorders>
              <w:top w:val="single" w:color="auto" w:sz="4"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7.4</w:t>
            </w:r>
          </w:p>
        </w:tc>
      </w:tr>
      <w:tr>
        <w:tblPrEx>
          <w:tblLayout w:type="fixed"/>
          <w:tblCellMar>
            <w:top w:w="0" w:type="dxa"/>
            <w:left w:w="108" w:type="dxa"/>
            <w:bottom w:w="0" w:type="dxa"/>
            <w:right w:w="108" w:type="dxa"/>
          </w:tblCellMar>
        </w:tblPrEx>
        <w:trPr>
          <w:trHeight w:val="72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xml:space="preserve">　 </w:t>
            </w:r>
            <w:r>
              <w:rPr>
                <w:rFonts w:hint="eastAsia" w:asciiTheme="majorEastAsia" w:hAnsiTheme="majorEastAsia" w:eastAsiaTheme="majorEastAsia" w:cstheme="majorEastAsia"/>
                <w:kern w:val="0"/>
                <w:sz w:val="28"/>
                <w:szCs w:val="28"/>
                <w:lang w:eastAsia="zh-CN"/>
              </w:rPr>
              <w:t>分馆及</w:t>
            </w:r>
            <w:r>
              <w:rPr>
                <w:rFonts w:hint="eastAsia" w:asciiTheme="majorEastAsia" w:hAnsiTheme="majorEastAsia" w:eastAsiaTheme="majorEastAsia" w:cstheme="majorEastAsia"/>
                <w:kern w:val="0"/>
                <w:sz w:val="28"/>
                <w:szCs w:val="28"/>
              </w:rPr>
              <w:t>基层图书馆室建设的专业技术指</w:t>
            </w:r>
            <w:bookmarkStart w:id="0" w:name="_GoBack"/>
            <w:bookmarkEnd w:id="0"/>
            <w:r>
              <w:rPr>
                <w:rFonts w:hint="eastAsia" w:asciiTheme="majorEastAsia" w:hAnsiTheme="majorEastAsia" w:eastAsiaTheme="majorEastAsia" w:cstheme="majorEastAsia"/>
                <w:kern w:val="0"/>
                <w:sz w:val="28"/>
                <w:szCs w:val="28"/>
              </w:rPr>
              <w:t>导</w:t>
            </w:r>
          </w:p>
        </w:tc>
      </w:tr>
      <w:tr>
        <w:tblPrEx>
          <w:tblLayout w:type="fixed"/>
          <w:tblCellMar>
            <w:top w:w="0" w:type="dxa"/>
            <w:left w:w="108" w:type="dxa"/>
            <w:bottom w:w="0" w:type="dxa"/>
            <w:right w:w="108" w:type="dxa"/>
          </w:tblCellMar>
        </w:tblPrEx>
        <w:trPr>
          <w:trHeight w:val="196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法定依据</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xml:space="preserve">　 </w:t>
            </w:r>
            <w:r>
              <w:rPr>
                <w:rFonts w:hint="eastAsia" w:asciiTheme="majorEastAsia" w:hAnsiTheme="majorEastAsia" w:eastAsiaTheme="majorEastAsia" w:cstheme="majorEastAsia"/>
                <w:sz w:val="28"/>
                <w:szCs w:val="28"/>
              </w:rPr>
              <w:t>《中华人民共和国公共图书馆法》第三十一条：县级人民政府应当因地制宜建立符合当地特点的以县级公共图书馆为总馆，乡镇（街道）综合文化站、村（社区）图书室等为分馆或者基层服务点的总分馆制，完善数字化、网络化服务体系和配送体系，实现通借通还，促进公共图书馆服务向城乡基层延伸。</w:t>
            </w:r>
            <w:r>
              <w:rPr>
                <w:rFonts w:hint="eastAsia" w:asciiTheme="majorEastAsia" w:hAnsiTheme="majorEastAsia" w:eastAsiaTheme="majorEastAsia" w:cstheme="majorEastAsia"/>
                <w:b w:val="0"/>
                <w:bCs/>
                <w:sz w:val="28"/>
                <w:szCs w:val="28"/>
              </w:rPr>
              <w:t>总馆应当加强对分馆和基层服务点的业务指导。</w:t>
            </w:r>
          </w:p>
        </w:tc>
      </w:tr>
      <w:tr>
        <w:tblPrEx>
          <w:tblLayout w:type="fixed"/>
          <w:tblCellMar>
            <w:top w:w="0" w:type="dxa"/>
            <w:left w:w="108" w:type="dxa"/>
            <w:bottom w:w="0" w:type="dxa"/>
            <w:right w:w="108" w:type="dxa"/>
          </w:tblCellMar>
        </w:tblPrEx>
        <w:trPr>
          <w:trHeight w:val="1131"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trHeight w:val="84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区图书馆承担专业技术指导。</w:t>
            </w:r>
          </w:p>
        </w:tc>
      </w:tr>
      <w:tr>
        <w:tblPrEx>
          <w:tblLayout w:type="fixed"/>
          <w:tblCellMar>
            <w:top w:w="0" w:type="dxa"/>
            <w:left w:w="108" w:type="dxa"/>
            <w:bottom w:w="0" w:type="dxa"/>
            <w:right w:w="108" w:type="dxa"/>
          </w:tblCellMar>
        </w:tblPrEx>
        <w:trPr>
          <w:trHeight w:val="81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在基层图书馆室筹备、建设与运营过程中，由筹办、建设、运营方提出请求，图书馆根据客观条件和技术能力为其提供馆藏布局、图书采编、运营管理、计算机系统、社会教育活动开展方面的专业技术指导。</w:t>
            </w:r>
          </w:p>
        </w:tc>
      </w:tr>
      <w:tr>
        <w:tblPrEx>
          <w:tblLayout w:type="fixed"/>
          <w:tblCellMar>
            <w:top w:w="0" w:type="dxa"/>
            <w:left w:w="108" w:type="dxa"/>
            <w:bottom w:w="0" w:type="dxa"/>
            <w:right w:w="108" w:type="dxa"/>
          </w:tblCellMar>
        </w:tblPrEx>
        <w:trPr>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p>
        </w:tc>
      </w:tr>
      <w:tr>
        <w:tblPrEx>
          <w:tblLayout w:type="fixed"/>
          <w:tblCellMar>
            <w:top w:w="0" w:type="dxa"/>
            <w:left w:w="108" w:type="dxa"/>
            <w:bottom w:w="0" w:type="dxa"/>
            <w:right w:w="108" w:type="dxa"/>
          </w:tblCellMar>
        </w:tblPrEx>
        <w:trPr>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图书馆在为基层图书馆室建设与运营提供专业技术指导的过程中，应明确职权范围，做好有关设备与文献资源归属权的界定。</w:t>
            </w:r>
          </w:p>
        </w:tc>
      </w:tr>
      <w:tr>
        <w:tblPrEx>
          <w:tblLayout w:type="fixed"/>
          <w:tblCellMar>
            <w:top w:w="0" w:type="dxa"/>
            <w:left w:w="108" w:type="dxa"/>
            <w:bottom w:w="0" w:type="dxa"/>
            <w:right w:w="108" w:type="dxa"/>
          </w:tblCellMar>
        </w:tblPrEx>
        <w:trPr>
          <w:trHeight w:val="1024" w:hRule="atLeast"/>
        </w:trPr>
        <w:tc>
          <w:tcPr>
            <w:tcW w:w="2283" w:type="dxa"/>
            <w:tcBorders>
              <w:top w:val="single" w:color="auto" w:sz="6" w:space="0"/>
              <w:left w:val="single" w:color="auto" w:sz="4" w:space="0"/>
              <w:bottom w:val="single" w:color="auto" w:sz="4"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tcBorders>
              <w:top w:val="single" w:color="auto" w:sz="6" w:space="0"/>
              <w:left w:val="single" w:color="auto" w:sz="6"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监督邮箱：</w:t>
            </w:r>
            <w:r>
              <w:rPr>
                <w:rFonts w:hint="eastAsia" w:asciiTheme="majorEastAsia" w:hAnsiTheme="majorEastAsia" w:eastAsiaTheme="majorEastAsia" w:cstheme="majorEastAsia"/>
                <w:kern w:val="0"/>
                <w:sz w:val="28"/>
                <w:szCs w:val="28"/>
                <w:lang w:eastAsia="zh-CN"/>
              </w:rPr>
              <w:t>xqlib@163.com</w:t>
            </w:r>
          </w:p>
          <w:p>
            <w:pPr>
              <w:widowControl/>
              <w:ind w:firstLine="280" w:firstLineChars="1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电话：</w:t>
            </w:r>
            <w:r>
              <w:rPr>
                <w:rFonts w:hint="eastAsia" w:asciiTheme="majorEastAsia" w:hAnsiTheme="majorEastAsia" w:eastAsiaTheme="majorEastAsia" w:cstheme="majorEastAsia"/>
                <w:kern w:val="0"/>
                <w:sz w:val="28"/>
                <w:szCs w:val="28"/>
                <w:lang w:eastAsia="zh-CN"/>
              </w:rPr>
              <w:t>27391689</w:t>
            </w:r>
          </w:p>
          <w:p>
            <w:pPr>
              <w:widowControl/>
              <w:ind w:firstLine="280" w:firstLineChars="1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来信地址：</w:t>
            </w:r>
            <w:r>
              <w:rPr>
                <w:rFonts w:hint="eastAsia" w:asciiTheme="majorEastAsia" w:hAnsiTheme="majorEastAsia" w:eastAsiaTheme="majorEastAsia" w:cstheme="majorEastAsia"/>
                <w:kern w:val="0"/>
                <w:sz w:val="28"/>
                <w:szCs w:val="28"/>
                <w:lang w:eastAsia="zh-CN"/>
              </w:rPr>
              <w:t>天津市西青区杨柳青镇府前街5号</w:t>
            </w:r>
            <w:r>
              <w:rPr>
                <w:rFonts w:hint="eastAsia" w:asciiTheme="majorEastAsia" w:hAnsiTheme="majorEastAsia" w:eastAsiaTheme="majorEastAsia" w:cstheme="majorEastAsia"/>
                <w:kern w:val="0"/>
                <w:sz w:val="28"/>
                <w:szCs w:val="28"/>
              </w:rPr>
              <w:t xml:space="preserve"> 邮政编码：</w:t>
            </w:r>
            <w:r>
              <w:rPr>
                <w:rFonts w:hint="eastAsia" w:asciiTheme="majorEastAsia" w:hAnsiTheme="majorEastAsia" w:eastAsiaTheme="majorEastAsia" w:cstheme="majorEastAsia"/>
                <w:kern w:val="0"/>
                <w:sz w:val="28"/>
                <w:szCs w:val="28"/>
                <w:lang w:eastAsia="zh-CN"/>
              </w:rPr>
              <w:t>300380</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2010601030101010101"/>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72521"/>
    <w:rsid w:val="58572521"/>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2018-01-09T06:02:00Z</dcterms:created>
  <dc:creator>abc</dc:creator>
  <cp:lastModifiedBy>abc</cp:lastModifiedBy>
  <dcterms:modified xsi:type="dcterms:W3CDTF">2018-01-09T06:05:10Z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